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Timegrp-16rplc-1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2438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19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5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7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находилась в состоянии алкогольного опьянения в общественном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месте </w:t>
      </w:r>
      <w:r>
        <w:rPr>
          <w:rFonts w:ascii="Times New Roman" w:eastAsia="Times New Roman" w:hAnsi="Times New Roman" w:cs="Times New Roman"/>
          <w:sz w:val="26"/>
          <w:szCs w:val="26"/>
        </w:rPr>
        <w:t>в подъезде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</w:rPr>
        <w:t>ома №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1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защиту не воспользовалась, вину в совершении правонарушения не оспаривала.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0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11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полицейского </w:t>
      </w:r>
      <w:r>
        <w:rPr>
          <w:rStyle w:val="cat-FIOgrp-12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от </w:t>
      </w:r>
      <w:r>
        <w:rPr>
          <w:rStyle w:val="cat-Dategrp-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свидетел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1776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11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0,84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1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появления в общественном месте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1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2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ст.20.21 КоАП РФ, и назначить ей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ареста на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27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18rplc-2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4rplc-3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Timegrp-16rplc-1">
    <w:name w:val="cat-Time grp-16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7rplc-11">
    <w:name w:val="cat-Time grp-17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Timegrp-18rplc-28">
    <w:name w:val="cat-Time grp-18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